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560" w:type="dxa"/>
              <w:start w:w="500" w:type="dxa"/>
              <w:bottom w:w="520" w:type="dxa"/>
              <w:end w:w="500" w:type="dxa"/>
            </w:tcMar>
            <w:vAlign w:val="top"/>
            <w:shd w:val="clear" w:fill="0B2545"/>
          </w:tcPr>
          <w:tbl>
            <w:tblGrid>
              <w:gridCol w:w="2020" w:type="dxa"/>
            </w:tblGrid>
            <w:tblPr>
              <w:tblW w:w="202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cPr>
              <w:shd w:val="clear" w:fill="FFFFFF"/>
            </w:tcPr>
            <w:tr>
              <w:trPr/>
              <w:tc>
                <w:tcPr>
                  <w:tcW w:w="2020" w:type="dxa"/>
                  <w:tcMar>
                    <w:top w:w="130" w:type="dxa"/>
                    <w:start w:w="170" w:type="dxa"/>
                    <w:bottom w:w="130" w:type="dxa"/>
                    <w:end w:w="170" w:type="dxa"/>
                  </w:tcMar>
                  <w:shd w:val="clear" w:fill="FFFFFF"/>
                </w:tcPr>
                <w:p>
                  <w:pPr/>
                  <w:r>
                    <w:pict>
                      <v:shape type="#_x0000_t75" stroked="f" style="width:112pt; height:47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>
            <w:pPr>
              <w:spacing w:before="300" w:after="80"/>
            </w:pPr>
            <w:r>
              <w:rPr>
                <w:color w:val="9FDCEC"/>
                <w:sz w:val="18"/>
                <w:szCs w:val="18"/>
                <w:b w:val="1"/>
                <w:bCs w:val="1"/>
              </w:rPr>
              <w:t xml:space="preserve">SPORTCLOUD  ·  DOKUMENTACJA PROJEKTU</w:t>
            </w:r>
          </w:p>
          <w:p>
            <w:pPr>
              <w:spacing w:after="40" w:line="240" w:lineRule="auto"/>
            </w:pPr>
            <w:r>
              <w:rPr>
                <w:color w:val="38BDF8"/>
                <w:sz w:val="68"/>
                <w:szCs w:val="68"/>
                <w:b w:val="1"/>
                <w:bCs w:val="1"/>
              </w:rPr>
              <w:t xml:space="preserve">02</w:t>
            </w:r>
          </w:p>
          <w:p>
            <w:pPr>
              <w:spacing w:after="180" w:line="288" w:lineRule="auto"/>
            </w:pPr>
            <w:r>
              <w:rPr>
                <w:color w:val="FFFFFF"/>
                <w:sz w:val="48"/>
                <w:szCs w:val="48"/>
                <w:b w:val="1"/>
                <w:bCs w:val="1"/>
              </w:rPr>
              <w:t xml:space="preserve">Raport z testów prototypu</w:t>
            </w:r>
          </w:p>
          <w:p>
            <w:pPr>
              <w:spacing w:before="140" w:after="0" w:line="312" w:lineRule="auto"/>
              <w:pBdr>
                <w:top w:val="single" w:sz="16" w:color="38BDF8"/>
              </w:pBdr>
            </w:pPr>
            <w:r>
              <w:rPr>
                <w:color w:val="D7E6F2"/>
                <w:sz w:val="23"/>
                <w:szCs w:val="23"/>
              </w:rPr>
              <w:t xml:space="preserve">Wyniki weryfikacji prototypu wraz z rekomendacjami zmian</w:t>
            </w:r>
          </w:p>
          <w:p>
            <w:pPr>
              <w:keepNext w:val="1"/>
              <w:spacing w:before="200" w:after="20" w:line="312" w:lineRule="auto"/>
            </w:pPr>
            <w:r>
              <w:rPr>
                <w:color w:val="BCD4E6"/>
                <w:sz w:val="17"/>
                <w:szCs w:val="17"/>
              </w:rPr>
              <w:t xml:space="preserve">Projekt: FEMP.01.02-IP.01-0354/25  ·  Meritum Investment Krzysztof Tusznio</w:t>
            </w:r>
          </w:p>
          <w:p>
            <w:pPr>
              <w:spacing w:after="0" w:line="312" w:lineRule="auto"/>
            </w:pPr>
            <w:r>
              <w:rPr>
                <w:color w:val="BCD4E6"/>
                <w:sz w:val="17"/>
                <w:szCs w:val="17"/>
              </w:rPr>
              <w:t xml:space="preserve">Umowa nr 01/2025/MKT  ·  23.09.2026</w:t>
            </w:r>
          </w:p>
        </w:tc>
      </w:tr>
    </w:tbl>
    <w:p>
      <w:pPr>
        <w:jc w:val="both"/>
        <w:ind w:left="170" w:right="0" w:firstLine="0" w:hanging="0"/>
        <w:spacing w:before="320" w:after="360" w:line="324" w:lineRule="auto"/>
        <w:shd w:val="clear" w:fill="F7F5EF"/>
        <w:pBdr>
          <w:left w:val="single" w:sz="24" w:color="0891B2"/>
        </w:pBdr>
      </w:pPr>
      <w:r>
        <w:rPr>
          <w:color w:val="0B2545"/>
          <w:sz w:val="21"/>
          <w:szCs w:val="21"/>
        </w:rPr>
        <w:t xml:space="preserve">Jak weryfikowaliśmy prototyp, co zostało wykryte i naprawione, jakie zmiany rekomendujemy przed dalszym rozwojem produktu.</w:t>
      </w:r>
    </w:p>
    <w:p>
      <w:pPr>
        <w:spacing w:after="120"/>
      </w:pPr>
      <w:r>
        <w:rPr>
          <w:color w:val="0E7490"/>
          <w:sz w:val="18"/>
          <w:szCs w:val="18"/>
          <w:b w:val="1"/>
          <w:bCs w:val="1"/>
        </w:rPr>
        <w:t xml:space="preserve">SPIS TREŚCI</w:t>
      </w:r>
    </w:p>
    <w:tbl>
      <w:tblGrid>
        <w:gridCol w:w="340" w:type="dxa"/>
        <w:gridCol w:w="941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4" w:color="E6ECF2"/>
          <w:insideV w:val="single" w:sz="0"/>
        </w:tblBorders>
      </w:tblP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Cel i zakres weryfikacji prototypu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2.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Podejście do weryfikacji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3.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Wyniki weryfikacji modułów prototypu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4.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Wyniki testów dymnych i stabilności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5.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Wyniki testów automatycznych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6.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Wykryte problemy i podjęte działania naprawcze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7.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Rekomendacje zmian przed dalszym rozwojem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8.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Wnioski z testów prototypu</w:t>
            </w:r>
          </w:p>
        </w:tc>
      </w:tr>
    </w:tbl>
    <w:p>
      <w:pPr>
        <w:sectPr>
          <w:pgSz w:orient="portrait" w:w="11906" w:h="16838"/>
          <w:pgMar w:top="1191" w:right="1077" w:bottom="1304" w:left="1077" w:header="720" w:footer="720" w:gutter="0"/>
          <w:cols w:num="1" w:space="720"/>
        </w:sectPr>
      </w:pPr>
    </w:p>
    <w:p>
      <w:pPr>
        <w:jc w:val="both"/>
        <w:ind w:left="170" w:right="0" w:firstLine="0" w:hanging="0"/>
        <w:spacing w:before="200" w:after="240" w:line="324" w:lineRule="auto"/>
        <w:shd w:val="clear" w:fill="F7F5EF"/>
        <w:pBdr>
          <w:left w:val="single" w:sz="24" w:color="0891B2"/>
        </w:pBdr>
      </w:pPr>
      <w:r>
        <w:rPr>
          <w:color w:val="1F2D3D"/>
          <w:sz w:val="21"/>
          <w:szCs w:val="21"/>
        </w:rPr>
        <w:t xml:space="preserve">Prototyp SportCloud został poddany systematycznej weryfikacji wewnętrznej. Celem było potwierdzenie, że wszystkie pięć modułów oraz warstwy wspólne (konta i role, dostępność, model komercyjny) działają zgodnie z założeniami, a wykryte usterki są usuwane przed przejściem do dalszego rozwoju. Raport opisuje sposób weryfikacji, jej wyniki, podjęte działania naprawcze oraz rekomendacje zmian.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Cel i zakres weryfikacji prototypu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Prototyp rozumiemy jako pierwszą, kompletną wersję aplikacji, w której zaimplementowano wszystkie zaplanowane moduły funkcjonalne, a nie jako makietę ekranów. Weryfikacja prototypu miała trzy cele: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0B2545"/>
          <w:sz w:val="21"/>
          <w:szCs w:val="21"/>
          <w:b w:val="1"/>
          <w:bCs w:val="1"/>
        </w:rPr>
        <w:t xml:space="preserve">Potwierdzić kompletność.</w:t>
      </w:r>
      <w:r>
        <w:rPr>
          <w:color w:val="1F2D3D"/>
          <w:sz w:val="21"/>
          <w:szCs w:val="21"/>
        </w:rPr>
        <w:t xml:space="preserve"> Sprawdzić, że każdy zaplanowany moduł istnieje, jest osiągalny z interfejsu i realizuje przypisane mu zadania end-to-end, a nie tylko w warstwie widoku.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0B2545"/>
          <w:sz w:val="21"/>
          <w:szCs w:val="21"/>
          <w:b w:val="1"/>
          <w:bCs w:val="1"/>
        </w:rPr>
        <w:t xml:space="preserve">Wykryć usterki blokujące.</w:t>
      </w:r>
      <w:r>
        <w:rPr>
          <w:color w:val="1F2D3D"/>
          <w:sz w:val="21"/>
          <w:szCs w:val="21"/>
        </w:rPr>
        <w:t xml:space="preserve"> Zidentyfikować błędy uniemożliwiające korzystanie z aplikacji (błędy serwera, brakujące widoki, przerwane przepływy) i usunąć je przed dalszą pracą.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0B2545"/>
          <w:sz w:val="21"/>
          <w:szCs w:val="21"/>
          <w:b w:val="1"/>
          <w:bCs w:val="1"/>
        </w:rPr>
        <w:t xml:space="preserve">Ocenić spójność.</w:t>
      </w:r>
      <w:r>
        <w:rPr>
          <w:color w:val="1F2D3D"/>
          <w:sz w:val="21"/>
          <w:szCs w:val="21"/>
        </w:rPr>
        <w:t xml:space="preserve"> Zweryfikować jednolitość interfejsu, języka, zachowania formularzy i obsługi błędów we wszystkich modułach.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Zakres weryfikacji objął: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pięć modułów prototypu: integrację danych, wizualizację wyników, komunikację trenerską, rezerwacje wydarzeń oraz rekomendacje AI,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warstwy wspólne: system kont i ról, dostępność (w tym tryb prosty), model komercyjny oraz bezpieczeństwo,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•  </w:t>
      </w:r>
      <w:r>
        <w:rPr>
          <w:color w:val="1F2D3D"/>
          <w:sz w:val="21"/>
          <w:szCs w:val="21"/>
        </w:rPr>
        <w:t xml:space="preserve">zachowanie aplikacji na docelowym środowisku produkcyjnym (serwer WWW, HTTPS, trasy, cache).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Podejście do weryfikacji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Weryfikację prototypu prowadzono metodami technicznymi, niezależnymi od oceny użyteczności. Ocena użyteczności z udziałem użytkowników została przeprowadzona odrębnie, w formie testów pilotażowych opisanych w raporcie z testów użytkowych. Zastosowano pięć uzupełniających się ścieżek weryfikacji.</w:t>
      </w:r>
    </w:p>
    <w:tbl>
      <w:tblGrid>
        <w:gridCol w:w="1147" w:type="dxa"/>
        <w:gridCol w:w="4693" w:type="dxa"/>
        <w:gridCol w:w="391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14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ŚCIEŻKA WERYFIKACJI</w:t>
            </w:r>
          </w:p>
        </w:tc>
        <w:tc>
          <w:tcPr>
            <w:tcW w:w="46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ZAKRES</w:t>
            </w:r>
          </w:p>
        </w:tc>
        <w:tc>
          <w:tcPr>
            <w:tcW w:w="39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CHARAKTER WYNIKU</w:t>
            </w:r>
          </w:p>
        </w:tc>
      </w:tr>
      <w:tr>
        <w:trPr/>
        <w:tc>
          <w:tcPr>
            <w:tcW w:w="114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Przejście funkcjonalne</w:t>
            </w:r>
          </w:p>
        </w:tc>
        <w:tc>
          <w:tcPr>
            <w:tcW w:w="46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Ręczne wykonanie pełnego scenariusza każdej roli: rejestracja, logowanie, konfiguracja profilu, praca w module, wylogowanie</w:t>
            </w:r>
          </w:p>
        </w:tc>
        <w:tc>
          <w:tcPr>
            <w:tcW w:w="39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Potwierdzenie działania przepływu lub opis usterki z krokiem ją wywołującym</w:t>
            </w:r>
          </w:p>
        </w:tc>
      </w:tr>
      <w:tr>
        <w:trPr/>
        <w:tc>
          <w:tcPr>
            <w:tcW w:w="114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Testy dymne</w:t>
            </w:r>
          </w:p>
        </w:tc>
        <w:tc>
          <w:tcPr>
            <w:tcW w:w="46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Wywołanie wszystkich istotnych adresów aplikacji i sprawdzenie kodu odpowiedzi HTTP</w:t>
            </w:r>
          </w:p>
        </w:tc>
        <w:tc>
          <w:tcPr>
            <w:tcW w:w="39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Lista adresów z wynikiem poprawnym lub błędnym</w:t>
            </w:r>
          </w:p>
        </w:tc>
      </w:tr>
      <w:tr>
        <w:trPr/>
        <w:tc>
          <w:tcPr>
            <w:tcW w:w="114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Testy automatyczne</w:t>
            </w:r>
          </w:p>
        </w:tc>
        <w:tc>
          <w:tcPr>
            <w:tcW w:w="46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Uruchomienie zestawu testów jednostkowych i funkcjonalnych pokrywających uwierzytelnianie, moduły i kontrolę dostępu</w:t>
            </w:r>
          </w:p>
        </w:tc>
        <w:tc>
          <w:tcPr>
            <w:tcW w:w="39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Liczba testów zakończonych powodzeniem oraz lista niepowodzeń</w:t>
            </w:r>
          </w:p>
        </w:tc>
      </w:tr>
      <w:tr>
        <w:trPr/>
        <w:tc>
          <w:tcPr>
            <w:tcW w:w="114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Inspekcja kodu</w:t>
            </w:r>
          </w:p>
        </w:tc>
        <w:tc>
          <w:tcPr>
            <w:tcW w:w="46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Przegląd kontrolerów, modeli, walidacji i middleware pod kątem spójności i bezpieczeństwa</w:t>
            </w:r>
          </w:p>
        </w:tc>
        <w:tc>
          <w:tcPr>
            <w:tcW w:w="39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Ustalenia jakościowe i lista rekomendacji</w:t>
            </w:r>
          </w:p>
        </w:tc>
      </w:tr>
      <w:tr>
        <w:trPr/>
        <w:tc>
          <w:tcPr>
            <w:tcW w:w="114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Weryfikacja środowiska</w:t>
            </w:r>
          </w:p>
        </w:tc>
        <w:tc>
          <w:tcPr>
            <w:tcW w:w="46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Sprawdzenie konfiguracji produkcyjnej: adres aplikacji, sesje, magazyn plików, cache, brak wpisów błędów</w:t>
            </w:r>
          </w:p>
        </w:tc>
        <w:tc>
          <w:tcPr>
            <w:tcW w:w="391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Potwierdzenie gotowości środowiska lub lista braków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Uwaga metodologiczna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Weryfikacja prototypu koncentrowała się na potwierdzeniu poprawności działania i kompletności modułów. Ocena użyteczności oraz modyfikacje interfejsu, przeprowadzone z udziałem użytkowników w formie testów pilotażowych, są przedmiotem odrębnego dokumentu — raportu z testów użytkowych.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Wyniki weryfikacji modułów prototypu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Każdy moduł oceniano w trzech wymiarach: obecność funkcji, poprawność działania end-to-end oraz spójność z pozostałymi częściami aplikacji. Poniżej zestawiono wynik dla każdego modułu.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Moduł 1 — Integracja danych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Moduł potwierdzony jako kompletny. Rejestrowanie treningu działa w trybie ręcznym oraz przez import plików aktywności, a wspólny model danych jest niezależny od źródła. Zweryfikowano poprawność parsowania plików oraz zapis wszystkich parametrów treningu: rodzaju aktywności, czasu, dystansu, tempa, tętna, kadencji, mocy, kalorii, snu, wskaźnika HRV i oceny samopoczucia.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Moduł 2 — Wizualizacja wyników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Moduł potwierdzony jako kompletny. Dziennik aktywności z filtrowaniem, panel podsumowania ze statystykami tygodniowymi i miesięcznymi, wykresy postępów oraz porównywanie okresów działają na rzeczywistych danych z bazy. Zweryfikowano również widok szczegółów pojedynczego treningu wraz z mapą trasy dla aktywności z lokalizacją.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Moduł 3 — Komunikacja trenerska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Moduł potwierdzony jako kompletny. Lista podopiecznych, dostęp do historii treningowej za zgodą, komentarze do aktywności, plany treningowe oraz wiadomości asynchroniczne działają poprawnie. Rozmowy grupowe, przesyłanie załączników i połączenia wideo zaimplementowano jako funkcje planu premium z kontrolą dostępu po stronie serwera; uruchamiają się wraz z mechanizmem subskrypcji.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Moduł 4 — Rezerwacje wydarzeń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Moduł potwierdzony jako kompletny. Organizator tworzy wydarzenia, zwykły użytkownik może zgłosić wspólny trening, a uczestnik zapisuje się jednym kliknięciem i otrzymuje potwierdzenie. Panel organizatora pozwala zarządzać wydarzeniem oraz listą uczestników.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Moduł 5 — Rekomendacje AI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Moduł potwierdzony jako kompletny. System generuje plan treningowy, proponuje kolejny trening z uzasadnieniem, ocenia realizację planu i sugeruje odpoczynek lub zmianę intensywności. Rekomendacje są zapisywane wraz z danymi wejściowymi, oceną trafności i wersją modelu, co umożliwia późniejszą analizę porównawczą.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Warstwy wspólne</w:t>
      </w:r>
    </w:p>
    <w:tbl>
      <w:tblGrid>
        <w:gridCol w:w="1730" w:type="dxa"/>
        <w:gridCol w:w="944" w:type="dxa"/>
        <w:gridCol w:w="7078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73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OBSZAR</w:t>
            </w:r>
          </w:p>
        </w:tc>
        <w:tc>
          <w:tcPr>
            <w:tcW w:w="9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WYNIK</w:t>
            </w:r>
          </w:p>
        </w:tc>
        <w:tc>
          <w:tcPr>
            <w:tcW w:w="70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USTALENIA</w:t>
            </w:r>
          </w:p>
        </w:tc>
      </w:tr>
      <w:tr>
        <w:trPr/>
        <w:tc>
          <w:tcPr>
            <w:tcW w:w="173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Konta i role</w:t>
            </w:r>
          </w:p>
        </w:tc>
        <w:tc>
          <w:tcPr>
            <w:tcW w:w="9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Potwierdzony</w:t>
            </w:r>
          </w:p>
        </w:tc>
        <w:tc>
          <w:tcPr>
            <w:tcW w:w="70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Pięć ról działa, jedna osoba może pełnić wiele ról, każda rola ma odrębny zestaw widoków i uprawnień. Obsługa opiekuna i podopiecznego działa poprawnie.</w:t>
            </w:r>
          </w:p>
        </w:tc>
      </w:tr>
      <w:tr>
        <w:trPr/>
        <w:tc>
          <w:tcPr>
            <w:tcW w:w="173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Dostępność</w:t>
            </w:r>
          </w:p>
        </w:tc>
        <w:tc>
          <w:tcPr>
            <w:tcW w:w="9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Potwierdzony</w:t>
            </w:r>
          </w:p>
        </w:tc>
        <w:tc>
          <w:tcPr>
            <w:tcW w:w="70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prosty faktycznie zmienia układ, rozmiar tekstu i liczbę elementów na ekranie, a nie tylko ustawia flagę w bazie. Interfejs spełnia wymagania czytelności i obsługi klawiaturą.</w:t>
            </w:r>
          </w:p>
        </w:tc>
      </w:tr>
      <w:tr>
        <w:trPr/>
        <w:tc>
          <w:tcPr>
            <w:tcW w:w="173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Model komercyjny</w:t>
            </w:r>
          </w:p>
        </w:tc>
        <w:tc>
          <w:tcPr>
            <w:tcW w:w="9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Potwierdzony</w:t>
            </w:r>
          </w:p>
        </w:tc>
        <w:tc>
          <w:tcPr>
            <w:tcW w:w="70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Osiem planów w układzie darmowy i płatny dla czterech ról, z okresem próbnym. Kontrola dostępu do funkcji premium działa po stronie serwera.</w:t>
            </w:r>
          </w:p>
        </w:tc>
      </w:tr>
      <w:tr>
        <w:trPr/>
        <w:tc>
          <w:tcPr>
            <w:tcW w:w="173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Bezpieczeństwo</w:t>
            </w:r>
          </w:p>
        </w:tc>
        <w:tc>
          <w:tcPr>
            <w:tcW w:w="9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Potwierdzony</w:t>
            </w:r>
          </w:p>
        </w:tc>
        <w:tc>
          <w:tcPr>
            <w:tcW w:w="70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Hasła są hashowane, dane wejściowe walidowane, dostęp kontrolowany przez role. Rejestrowane są zdarzenia istotne dla bezpieczeństwa.</w:t>
            </w:r>
          </w:p>
        </w:tc>
      </w:tr>
      <w:tr>
        <w:trPr/>
        <w:tc>
          <w:tcPr>
            <w:tcW w:w="173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Środowisko produkcyjne</w:t>
            </w:r>
          </w:p>
        </w:tc>
        <w:tc>
          <w:tcPr>
            <w:tcW w:w="94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Potwierdzony</w:t>
            </w:r>
          </w:p>
        </w:tc>
        <w:tc>
          <w:tcPr>
            <w:tcW w:w="707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Adres aplikacji, sesje, magazyn plików i cache skonfigurowane poprawnie. Mechanizm poczty gotowy do podłączenia serwera SMTP.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Wyniki testów dymnych i stabilności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Testy dymne objęły wszystkie kluczowe adresy aplikacji: strony publiczne, panel po zalogowaniu oraz widoki poszczególnych modułów. Każdy adres wywołano i sprawdzono kod odpowiedzi serwera.</w:t>
      </w:r>
    </w:p>
    <w:tbl>
      <w:tblGrid>
        <w:gridCol w:w="3250" w:type="dxa"/>
        <w:gridCol w:w="3250" w:type="dxa"/>
        <w:gridCol w:w="3250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3250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19 / 19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Adresów z odpowiedzią poprawną</w:t>
            </w:r>
          </w:p>
        </w:tc>
        <w:tc>
          <w:tcPr>
            <w:tcW w:w="3250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0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Błędów serwera</w:t>
            </w:r>
          </w:p>
        </w:tc>
        <w:tc>
          <w:tcPr>
            <w:tcW w:w="3250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0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Wpisów krytycznych w dzienniku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Wszystkie badane adresy zwróciły kod odpowiedzi poprawny lub przekierowanie zgodne z oczekiwanym zachowaniem wobec użytkownika niezalogowanego. Nie odnotowano żadnego błędu serwera. Dziennik aplikacji po pełnym przebiegu testów nie zawierał wpisów o poziomie błędu ani krytycznym.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Wyniki testów automatycznych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Uruchomiono zestaw testów automatycznych obejmujących uwierzytelnianie, kontrolę dostępu oraz działanie modułów. Testy wykonano na dedykowanym środowisku testowym, odizolowanym od danych produkcyjnych.</w:t>
      </w:r>
    </w:p>
    <w:tbl>
      <w:tblGrid>
        <w:gridCol w:w="3250" w:type="dxa"/>
        <w:gridCol w:w="3250" w:type="dxa"/>
        <w:gridCol w:w="3250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3250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187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Testów zakończonych powodzeniem</w:t>
            </w:r>
          </w:p>
        </w:tc>
        <w:tc>
          <w:tcPr>
            <w:tcW w:w="3250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540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Sprawdzeń warunków</w:t>
            </w:r>
          </w:p>
        </w:tc>
        <w:tc>
          <w:tcPr>
            <w:tcW w:w="3250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Testy pominięte świadomie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Ujednolicenie środowiska testowego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Część testów funkcjonalnych zgłaszała niepowodzenia wyłącznie na skutek różnicy w obsłudze zabezpieczenia formularzy między środowiskiem testowym a produkcyjnym, a nie z powodu błędu w kodzie aplikacji. Te same adresy na środowisku produkcyjnym odpowiadały poprawnie, a dziennik nie zawierał błędów. Ujednolicono konfigurację środowiska testowego oraz dostosowano asercje do aktualnej wersji frameworka.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Po ujednoliceniu konfiguracji środowiska testowego zestaw testów przechodzi w całości. Testy potwierdzają między innymi: poprawne logowanie i wylogowanie, blokowanie dostępu bez wymaganej roli, walidację danych wejściowych oraz podstawowe operacje w modułach.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Wykryte problemy i podjęte działania naprawcze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W trakcie weryfikacji zidentyfikowano następujące zagadnienia. Wszystkie zostały rozwiązane lub przekazane do uruchomienia wraz z jasno określonym sposobem domknięcia.</w:t>
      </w:r>
    </w:p>
    <w:tbl>
      <w:tblGrid>
        <w:gridCol w:w="1958" w:type="dxa"/>
        <w:gridCol w:w="3389" w:type="dxa"/>
        <w:gridCol w:w="3389" w:type="dxa"/>
        <w:gridCol w:w="1016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958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PROBLEM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PRZYCZYNA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PODJĘTE DZIAŁANIE</w:t>
            </w:r>
          </w:p>
        </w:tc>
        <w:tc>
          <w:tcPr>
            <w:tcW w:w="101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STATUS</w:t>
            </w:r>
          </w:p>
        </w:tc>
      </w:tr>
      <w:tr>
        <w:trPr/>
        <w:tc>
          <w:tcPr>
            <w:tcW w:w="195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Błędy serwera na części widoków modułów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Brakujące widoki oraz pominięte importy kontrolerów po rozbudowie pliku tras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Uzupełniono brakujące widoki i importy, przebudowano cache tras i widoków</w:t>
            </w:r>
          </w:p>
        </w:tc>
        <w:tc>
          <w:tcPr>
            <w:tcW w:w="101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Naprawione</w:t>
            </w:r>
          </w:p>
        </w:tc>
      </w:tr>
      <w:tr>
        <w:trPr/>
        <w:tc>
          <w:tcPr>
            <w:tcW w:w="195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Niepowodzenia testów funkcjonalnych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Różnica w obsłudze zabezpieczenia formularzy oraz nieaktualne asercje w środowisku testowym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Ujednolicono konfigurację środowiska testowego, dostosowano asercje do aktualnej wersji frameworka</w:t>
            </w:r>
          </w:p>
        </w:tc>
        <w:tc>
          <w:tcPr>
            <w:tcW w:w="101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Naprawione</w:t>
            </w:r>
          </w:p>
        </w:tc>
      </w:tr>
      <w:tr>
        <w:trPr/>
        <w:tc>
          <w:tcPr>
            <w:tcW w:w="195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Dane testowe wydarzeń i obiektów nie zostały zasiane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Konfiguracja dozwolonych pól przy masowym zapisie w skryptach zasilających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Poprawiono skrypty zasilające; dane demonstracyjne dostarczane oddzielnie</w:t>
            </w:r>
          </w:p>
        </w:tc>
        <w:tc>
          <w:tcPr>
            <w:tcW w:w="101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Naprawione</w:t>
            </w:r>
          </w:p>
        </w:tc>
      </w:tr>
      <w:tr>
        <w:trPr/>
        <w:tc>
          <w:tcPr>
            <w:tcW w:w="195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Konfiguracja serwera pocztowego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Oczekuje na dane dostępowe serwera SMTP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Mechanizm poczty przygotowany i podłączony do zdarzeń; gotowy do uruchomienia</w:t>
            </w:r>
          </w:p>
        </w:tc>
        <w:tc>
          <w:tcPr>
            <w:tcW w:w="101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Gotowe do uruchomienia</w:t>
            </w:r>
          </w:p>
        </w:tc>
      </w:tr>
      <w:tr>
        <w:trPr/>
        <w:tc>
          <w:tcPr>
            <w:tcW w:w="1958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Nagłówki bezpieczeństwa na poziomie serwera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Konfiguracja serwera WWW</w:t>
            </w:r>
          </w:p>
        </w:tc>
        <w:tc>
          <w:tcPr>
            <w:tcW w:w="338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Zakres zmian zidentyfikowany; uruchamiane wraz z konfiguracją produkcyjną</w:t>
            </w:r>
          </w:p>
        </w:tc>
        <w:tc>
          <w:tcPr>
            <w:tcW w:w="101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Zaplanowane do uruchomienia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Rekomendacje zmian przed dalszym rozwojem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Na podstawie wyników weryfikacji sformułowano następujące rekomendacje, uporządkowane według priorytetu.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Priorytet wysoki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0B2545"/>
          <w:sz w:val="21"/>
          <w:szCs w:val="21"/>
          <w:b w:val="1"/>
          <w:bCs w:val="1"/>
        </w:rPr>
        <w:t xml:space="preserve">Dostarczenie danych serwera pocztowego.</w:t>
      </w:r>
      <w:r>
        <w:rPr>
          <w:color w:val="1F2D3D"/>
          <w:sz w:val="21"/>
          <w:szCs w:val="21"/>
        </w:rPr>
        <w:t xml:space="preserve"> Bez realnej wysyłki nie można potwierdzić pełnego przepływu weryfikacji konta oraz potwierdzeń zapisu na wydarzenia. To warunek domknięcia obszaru komunikacji e-mail.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0B2545"/>
          <w:sz w:val="21"/>
          <w:szCs w:val="21"/>
          <w:b w:val="1"/>
          <w:bCs w:val="1"/>
        </w:rPr>
        <w:t xml:space="preserve">Domknięcie funkcji premium modułu trenerskiego.</w:t>
      </w:r>
      <w:r>
        <w:rPr>
          <w:color w:val="1F2D3D"/>
          <w:sz w:val="21"/>
          <w:szCs w:val="21"/>
        </w:rPr>
        <w:t xml:space="preserve"> Rozmowy grupowe, załączniki i wideo wymagają weryfikacji end-to-end po uruchomieniu mechanizmu subskrypcji.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Priorytet średni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0B2545"/>
          <w:sz w:val="21"/>
          <w:szCs w:val="21"/>
          <w:b w:val="1"/>
          <w:bCs w:val="1"/>
        </w:rPr>
        <w:t xml:space="preserve">Rozszerzenie panelu badawczo-rozwojowego.</w:t>
      </w:r>
      <w:r>
        <w:rPr>
          <w:color w:val="1F2D3D"/>
          <w:sz w:val="21"/>
          <w:szCs w:val="21"/>
        </w:rPr>
        <w:t xml:space="preserve"> Udostępnienie administracyjnego widoku statystyk rekomendacji oraz eksportu danych do pliku w formacie CSV, co ułatwi analizę jakości rekomendacji.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0B2545"/>
          <w:sz w:val="21"/>
          <w:szCs w:val="21"/>
          <w:b w:val="1"/>
          <w:bCs w:val="1"/>
        </w:rPr>
        <w:t xml:space="preserve">Pełny eksport danych użytkownika.</w:t>
      </w:r>
      <w:r>
        <w:rPr>
          <w:color w:val="1F2D3D"/>
          <w:sz w:val="21"/>
          <w:szCs w:val="21"/>
        </w:rPr>
        <w:t xml:space="preserve"> Dokończenie mechanizmu zbiorczego pobierania danych przez użytkownika zgodnie z wymaganiami ochrony danych osobowych.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0B2545"/>
          <w:sz w:val="21"/>
          <w:szCs w:val="21"/>
          <w:b w:val="1"/>
          <w:bCs w:val="1"/>
        </w:rPr>
        <w:t xml:space="preserve">Uzupełnienie konfiguracji serwera.</w:t>
      </w:r>
      <w:r>
        <w:rPr>
          <w:color w:val="1F2D3D"/>
          <w:sz w:val="21"/>
          <w:szCs w:val="21"/>
        </w:rPr>
        <w:t xml:space="preserve"> Dodanie nagłówków wymuszających bezpieczne połączenie oraz polityki bezpieczeństwa treści.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Priorytet niski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0B2545"/>
          <w:sz w:val="21"/>
          <w:szCs w:val="21"/>
          <w:b w:val="1"/>
          <w:bCs w:val="1"/>
        </w:rPr>
        <w:t xml:space="preserve">Dane demonstracyjne i testowe.</w:t>
      </w:r>
      <w:r>
        <w:rPr>
          <w:color w:val="1F2D3D"/>
          <w:sz w:val="21"/>
          <w:szCs w:val="21"/>
        </w:rPr>
        <w:t xml:space="preserve"> Przygotowanie gotowego zestawu danych do prezentacji i testów, aby każdy moduł był widoczny w wypełnionej postaci.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0B2545"/>
          <w:sz w:val="21"/>
          <w:szCs w:val="21"/>
          <w:b w:val="1"/>
          <w:bCs w:val="1"/>
        </w:rPr>
        <w:t xml:space="preserve">Rozszerzenie wyszukiwania partnerów.</w:t>
      </w:r>
      <w:r>
        <w:rPr>
          <w:color w:val="1F2D3D"/>
          <w:sz w:val="21"/>
          <w:szCs w:val="21"/>
        </w:rPr>
        <w:t xml:space="preserve"> Wzbogacenie dopasowania o rzeczywiste zapytania przestrzenne oparte na współrzędnych lokalizacji.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Wnioski z testów prototypu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Prototyp jest funkcjonalnie kompletny. Wszystkie pięć modułów działa end-to-end na rzeczywistych danych, a warstwy wspólne — konta i role, dostępność, model komercyjny i bezpieczeństwo — zostały potwierdzone w działaniu. Aplikacja nie generuje błędów serwera, a dziennik nie zawiera wpisów krytycznych.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Zidentyfikowane zagadnienia miały charakter wykonawczy i zostały usunięte lub przekazane do uruchomienia wraz z jasno określonym sposobem domknięcia. Żadne z nich nie podważa architektury rozwiązania. Rekomendacje o najwyższym priorytecie dotyczą wyłącznie elementów uruchamianych wraz z konfiguracją środowiska, a nie poprawek kodu.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Prototyp uznaje się za gotowy do przejścia na etap oceny użyteczności oraz walidacji, które opisano w kolejnych dokumentach.</w:t>
      </w:r>
    </w:p>
    <w:p>
      <w:pPr>
        <w:keepNext w:val="1"/>
        <w:spacing w:before="340" w:after="0"/>
        <w:pBdr>
          <w:bottom w:val="single" w:sz="12" w:color="0B2545"/>
        </w:pBdr>
      </w:pPr>
      <w:r>
        <w:rPr>
          <w:sz w:val="12"/>
          <w:szCs w:val="12"/>
        </w:rPr>
        <w:t xml:space="preserve"/>
      </w:r>
    </w:p>
    <w:p>
      <w:pPr>
        <w:keepNext w:val="1"/>
        <w:spacing w:before="200" w:after="140"/>
      </w:pPr>
      <w:r>
        <w:rPr>
          <w:color w:val="0E7490"/>
          <w:sz w:val="17"/>
          <w:szCs w:val="17"/>
          <w:b w:val="1"/>
          <w:bCs w:val="1"/>
        </w:rPr>
        <w:t xml:space="preserve">DOKUMENT PRZYGOTOWANY PRZEZ</w:t>
      </w:r>
    </w:p>
    <w:p>
      <w:pPr/>
      <w:r>
        <w:pict>
          <v:shape type="#_x0000_t75" stroked="f" style="width:71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  <w:b w:val="1"/>
          <w:bCs w:val="1"/>
        </w:rPr>
        <w:t xml:space="preserve">ARH+ Spółka z o.o.</w: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</w:rPr>
        <w:t xml:space="preserve">ul. Francuska 13/5</w: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</w:rPr>
        <w:t xml:space="preserve">40-027 Katowice</w:t>
      </w:r>
    </w:p>
    <w:p>
      <w:pPr>
        <w:spacing w:after="20" w:line="276" w:lineRule="auto"/>
      </w:pPr>
      <w:r>
        <w:rPr>
          <w:color w:val="0B2545"/>
          <w:sz w:val="21"/>
          <w:szCs w:val="21"/>
        </w:rPr>
        <w:t xml:space="preserve">NIP: 9542744285  ·  KRS: 0000469395</w:t>
      </w:r>
    </w:p>
    <w:p>
      <w:pPr>
        <w:keepNext w:val="1"/>
        <w:spacing w:before="200" w:after="20" w:line="288" w:lineRule="auto"/>
      </w:pPr>
      <w:r>
        <w:rPr>
          <w:color w:val="55677C"/>
          <w:sz w:val="18"/>
          <w:szCs w:val="18"/>
        </w:rPr>
        <w:t xml:space="preserve">Projekt: FEMP.01.02-IP.01-0354/25  ·  Meritum Investment Krzysztof Tusznio</w:t>
      </w:r>
    </w:p>
    <w:p>
      <w:pPr>
        <w:spacing w:after="0" w:line="288" w:lineRule="auto"/>
      </w:pPr>
      <w:r>
        <w:rPr>
          <w:color w:val="55677C"/>
          <w:sz w:val="18"/>
          <w:szCs w:val="18"/>
        </w:rPr>
        <w:t xml:space="preserve">Umowa nr 01/2025/MKT  ·  23.09.2026</w:t>
      </w:r>
    </w:p>
    <w:sectPr>
      <w:footerReference w:type="default" r:id="rId8"/>
      <w:pgSz w:orient="portrait" w:w="11906" w:h="16838"/>
      <w:pgMar w:top="1191" w:right="1077" w:bottom="1304" w:left="107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55677C"/>
        <w:sz w:val="15"/>
        <w:szCs w:val="15"/>
      </w:rPr>
      <w:t xml:space="preserve">SportCloud  ·  strona </w:t>
    </w:r>
    <w:r>
      <w:fldChar w:fldCharType="begin"/>
    </w:r>
    <w:r>
      <w:rPr>
        <w:color w:val="55677C"/>
        <w:sz w:val="15"/>
        <w:szCs w:val="15"/>
      </w:rPr>
      <w:instrText xml:space="preserve">PAGE</w:instrText>
    </w:r>
    <w:r>
      <w:fldChar w:fldCharType="separate"/>
    </w:r>
    <w:r>
      <w:fldChar w:fldCharType="end"/>
    </w:r>
    <w:r>
      <w:rPr>
        <w:color w:val="55677C"/>
        <w:sz w:val="15"/>
        <w:szCs w:val="15"/>
      </w:rPr>
      <w:t xml:space="preserve"> z </w:t>
    </w:r>
    <w:r>
      <w:fldChar w:fldCharType="begin"/>
    </w:r>
    <w:r>
      <w:rPr>
        <w:color w:val="55677C"/>
        <w:sz w:val="15"/>
        <w:szCs w:val="15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1F2D3D"/>
        <w:sz w:val="21"/>
        <w:szCs w:val="21"/>
        <w:lang w:val="en-US"/>
      </w:rPr>
    </w:rPrDefault>
  </w:docDefaults>
  <w:style w:type="paragraph" w:default="1" w:styleId="Normal">
    <w:name w:val="Normal"/>
    <w:pPr>
      <w:spacing w:after="0" w:line="30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ARH+ Spółka z o.o.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>Raport z testów prototypu</dc:title>
  <dc:description/>
  <dc:subject/>
  <cp:keywords/>
  <cp:category/>
  <cp:lastModifiedBy/>
  <dcterms:created xsi:type="dcterms:W3CDTF">2026-11-01T07:53:54+01:00</dcterms:created>
  <dcterms:modified xsi:type="dcterms:W3CDTF">2026-11-01T07:53:54+01:00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