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560" w:type="dxa"/>
              <w:start w:w="500" w:type="dxa"/>
              <w:bottom w:w="520" w:type="dxa"/>
              <w:end w:w="500" w:type="dxa"/>
            </w:tcMar>
            <w:vAlign w:val="top"/>
            <w:shd w:val="clear" w:fill="0B2545"/>
          </w:tcPr>
          <w:tbl>
            <w:tblGrid>
              <w:gridCol w:w="2020" w:type="dxa"/>
            </w:tblGrid>
            <w:tblPr>
              <w:tblW w:w="202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cPr>
              <w:shd w:val="clear" w:fill="FFFFFF"/>
            </w:tcPr>
            <w:tr>
              <w:trPr/>
              <w:tc>
                <w:tcPr>
                  <w:tcW w:w="2020" w:type="dxa"/>
                  <w:tcMar>
                    <w:top w:w="130" w:type="dxa"/>
                    <w:start w:w="170" w:type="dxa"/>
                    <w:bottom w:w="130" w:type="dxa"/>
                    <w:end w:w="170" w:type="dxa"/>
                  </w:tcMar>
                  <w:shd w:val="clear" w:fill="FFFFFF"/>
                </w:tcPr>
                <w:p>
                  <w:pPr/>
                  <w:r>
                    <w:pict>
                      <v:shape type="#_x0000_t75" stroked="f" style="width:112pt; height:47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>
            <w:pPr>
              <w:spacing w:before="300" w:after="80"/>
            </w:pPr>
            <w:r>
              <w:rPr>
                <w:color w:val="9FDCEC"/>
                <w:sz w:val="18"/>
                <w:szCs w:val="18"/>
                <w:b w:val="1"/>
                <w:bCs w:val="1"/>
              </w:rPr>
              <w:t xml:space="preserve">SPORTCLOUD  ·  DOKUMENTACJA PROJEKTU</w:t>
            </w:r>
          </w:p>
          <w:p>
            <w:pPr>
              <w:spacing w:after="40" w:line="240" w:lineRule="auto"/>
            </w:pPr>
            <w:r>
              <w:rPr>
                <w:color w:val="38BDF8"/>
                <w:sz w:val="68"/>
                <w:szCs w:val="68"/>
                <w:b w:val="1"/>
                <w:bCs w:val="1"/>
              </w:rPr>
              <w:t xml:space="preserve">05</w:t>
            </w:r>
          </w:p>
          <w:p>
            <w:pPr>
              <w:spacing w:after="180" w:line="288" w:lineRule="auto"/>
            </w:pPr>
            <w:r>
              <w:rPr>
                <w:color w:val="FFFFFF"/>
                <w:sz w:val="48"/>
                <w:szCs w:val="48"/>
                <w:b w:val="1"/>
                <w:bCs w:val="1"/>
              </w:rPr>
              <w:t xml:space="preserve">Raport końcowy z walidacji aplikacji</w:t>
            </w:r>
          </w:p>
          <w:p>
            <w:pPr>
              <w:spacing w:before="140" w:after="0" w:line="312" w:lineRule="auto"/>
              <w:pBdr>
                <w:top w:val="single" w:sz="16" w:color="38BDF8"/>
              </w:pBdr>
            </w:pPr>
            <w:r>
              <w:rPr>
                <w:color w:val="D7E6F2"/>
                <w:sz w:val="23"/>
                <w:szCs w:val="23"/>
              </w:rPr>
              <w:t xml:space="preserve">Wyniki walidacji aplikacji i ocena zgodności z wymaganiami</w:t>
            </w:r>
          </w:p>
          <w:p>
            <w:pPr>
              <w:keepNext w:val="1"/>
              <w:spacing w:before="200" w:after="20" w:line="312" w:lineRule="auto"/>
            </w:pPr>
            <w:r>
              <w:rPr>
                <w:color w:val="BCD4E6"/>
                <w:sz w:val="17"/>
                <w:szCs w:val="17"/>
              </w:rPr>
              <w:t xml:space="preserve">Projekt: FEMP.01.02-IP.01-0354/25  ·  Meritum Investment Krzysztof Tusznio</w:t>
            </w:r>
          </w:p>
          <w:p>
            <w:pPr>
              <w:spacing w:after="0" w:line="312" w:lineRule="auto"/>
            </w:pPr>
            <w:r>
              <w:rPr>
                <w:color w:val="BCD4E6"/>
                <w:sz w:val="17"/>
                <w:szCs w:val="17"/>
              </w:rPr>
              <w:t xml:space="preserve">Umowa nr 01/2025/MKT  ·  23.09.2026</w:t>
            </w:r>
          </w:p>
        </w:tc>
      </w:tr>
    </w:tbl>
    <w:p>
      <w:pPr>
        <w:jc w:val="both"/>
        <w:ind w:left="170" w:right="0" w:firstLine="0" w:hanging="0"/>
        <w:spacing w:before="320" w:after="360" w:line="324" w:lineRule="auto"/>
        <w:shd w:val="clear" w:fill="F7F5EF"/>
        <w:pBdr>
          <w:left w:val="single" w:sz="24" w:color="0891B2"/>
        </w:pBdr>
      </w:pPr>
      <w:r>
        <w:rPr>
          <w:color w:val="0B2545"/>
          <w:sz w:val="21"/>
          <w:szCs w:val="21"/>
        </w:rPr>
        <w:t xml:space="preserve">Zbiorcze zestawienie wyników walidacji: stopień spełnienia wymagań funkcjonalnych, jakościowych i produkcyjnych oraz werdykt końcowy.</w:t>
      </w:r>
    </w:p>
    <w:p>
      <w:pPr>
        <w:spacing w:after="120"/>
      </w:pPr>
      <w:r>
        <w:rPr>
          <w:color w:val="0E7490"/>
          <w:sz w:val="18"/>
          <w:szCs w:val="18"/>
          <w:b w:val="1"/>
          <w:bCs w:val="1"/>
        </w:rPr>
        <w:t xml:space="preserve">SPIS TREŚCI</w:t>
      </w:r>
    </w:p>
    <w:tbl>
      <w:tblGrid>
        <w:gridCol w:w="340" w:type="dxa"/>
        <w:gridCol w:w="941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4" w:color="E6ECF2"/>
          <w:insideV w:val="single" w:sz="0"/>
        </w:tblBorders>
      </w:tblP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Cel i zakres walidacji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2.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Metodyka walidacji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3.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Zgodność z wymaganiami funkcjonalnymi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4.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Zgodność z wymaganiami pozafunkcjonalnymi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5.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Zgodność z kryteriami produkcyjnymi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6.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Ocena kryteriów jakościowych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7.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Wskaźniki końcowe walidacji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8.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Zadania konfiguracyjne i kierunki domknięcia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9.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Werdykt końcowy</w:t>
            </w:r>
          </w:p>
        </w:tc>
      </w:tr>
      <w:tr>
        <w:trPr/>
        <w:tc>
          <w:tcPr>
            <w:tcW w:w="340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0E7490"/>
                <w:sz w:val="20"/>
                <w:szCs w:val="20"/>
                <w:b w:val="1"/>
                <w:bCs w:val="1"/>
              </w:rPr>
              <w:t xml:space="preserve">10.</w:t>
            </w:r>
          </w:p>
        </w:tc>
        <w:tc>
          <w:tcPr>
            <w:tcW w:w="9412" w:type="dxa"/>
            <w:tcMar>
              <w:top w:w="60" w:type="dxa"/>
              <w:bottom w:w="60" w:type="dxa"/>
            </w:tcMar>
            <w:vAlign w:val="top"/>
          </w:tcPr>
          <w:p>
            <w:pPr/>
            <w:r>
              <w:rPr>
                <w:color w:val="1F2D3D"/>
                <w:sz w:val="20"/>
                <w:szCs w:val="20"/>
              </w:rPr>
              <w:t xml:space="preserve">Rekomendacje dalszego rozwoju</w:t>
            </w:r>
          </w:p>
        </w:tc>
      </w:tr>
    </w:tbl>
    <w:p>
      <w:pPr>
        <w:sectPr>
          <w:pgSz w:orient="portrait" w:w="11906" w:h="16838"/>
          <w:pgMar w:top="1191" w:right="1077" w:bottom="1304" w:left="1077" w:header="720" w:footer="720" w:gutter="0"/>
          <w:cols w:num="1" w:space="720"/>
        </w:sectPr>
      </w:pPr>
    </w:p>
    <w:p>
      <w:pPr>
        <w:jc w:val="both"/>
        <w:ind w:left="170" w:right="0" w:firstLine="0" w:hanging="0"/>
        <w:spacing w:before="200" w:after="240" w:line="324" w:lineRule="auto"/>
        <w:shd w:val="clear" w:fill="F7F5EF"/>
        <w:pBdr>
          <w:left w:val="single" w:sz="24" w:color="0891B2"/>
        </w:pBdr>
      </w:pPr>
      <w:r>
        <w:rPr>
          <w:color w:val="1F2D3D"/>
          <w:sz w:val="21"/>
          <w:szCs w:val="21"/>
        </w:rPr>
        <w:t xml:space="preserve">Raport końcowy podsumowuje wyniki walidacji aplikacji SportCloud. Łączy ustalenia z weryfikacji modułów, wyników testów automatycznych i dymnych, oceny użyteczności oraz zgodności z wymaganiami funkcjonalnymi, pozafunkcjonalnymi i produkcyjnymi. Zawiera ocenę końcową oraz wskazanie obszarów do dalszego rozwoju.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Cel i zakres walidacji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Walidacja miała odpowiedzieć na jedno pytanie: czy dostarczona aplikacja realizuje wszystkie założone wymagania i może być bezpiecznie użytkowana na środowisku produkcyjnym. Walidację przeprowadzono na środowisku docelowym, na rzeczywistej bazie danych, a nie na makiecie.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Zakres walidacji objął cztery obszary: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1F2D3D"/>
          <w:sz w:val="21"/>
          <w:szCs w:val="21"/>
        </w:rPr>
        <w:t xml:space="preserve">zgodność z wymaganiami funkcjonalnymi, opisującymi co aplikacja ma robić,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1F2D3D"/>
          <w:sz w:val="21"/>
          <w:szCs w:val="21"/>
        </w:rPr>
        <w:t xml:space="preserve">zgodność z wymaganiami pozafunkcjonalnymi, opisującymi jak aplikacja ma działać,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1F2D3D"/>
          <w:sz w:val="21"/>
          <w:szCs w:val="21"/>
        </w:rPr>
        <w:t xml:space="preserve">zgodność z kryteriami produkcyjnymi, opisującymi gotowość do wdrożenia,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4.  </w:t>
      </w:r>
      <w:r>
        <w:rPr>
          <w:color w:val="1F2D3D"/>
          <w:sz w:val="21"/>
          <w:szCs w:val="21"/>
        </w:rPr>
        <w:t xml:space="preserve">ocenę jakościową w kluczowych wymiarach: responsywność, integracje, jakość rekomendacji, dostępność, jakość kodu i stabilność.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Metodyka walidacji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Walidację przeprowadzono, łącząc wyniki kilku niezależnych sposobów sprawdzenia.</w:t>
      </w:r>
    </w:p>
    <w:tbl>
      <w:tblGrid>
        <w:gridCol w:w="950" w:type="dxa"/>
        <w:gridCol w:w="4301" w:type="dxa"/>
        <w:gridCol w:w="4501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9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METODA</w:t>
            </w:r>
          </w:p>
        </w:tc>
        <w:tc>
          <w:tcPr>
            <w:tcW w:w="43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PRZEDMIOT SPRAWDZENIA</w:t>
            </w:r>
          </w:p>
        </w:tc>
        <w:tc>
          <w:tcPr>
            <w:tcW w:w="45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CHARAKTER WYNIKU</w:t>
            </w:r>
          </w:p>
        </w:tc>
      </w:tr>
      <w:tr>
        <w:trPr/>
        <w:tc>
          <w:tcPr>
            <w:tcW w:w="9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Weryfikacja modułów</w:t>
            </w:r>
          </w:p>
        </w:tc>
        <w:tc>
          <w:tcPr>
            <w:tcW w:w="43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Pięć modułów prototypu oraz warstwy wspólne, przejście pełnych scenariuszy każdej roli</w:t>
            </w:r>
          </w:p>
        </w:tc>
        <w:tc>
          <w:tcPr>
            <w:tcW w:w="45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Potwierdzenie działania lub opis odstępstwa</w:t>
            </w:r>
          </w:p>
        </w:tc>
      </w:tr>
      <w:tr>
        <w:trPr/>
        <w:tc>
          <w:tcPr>
            <w:tcW w:w="9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Testy automatyczne</w:t>
            </w:r>
          </w:p>
        </w:tc>
        <w:tc>
          <w:tcPr>
            <w:tcW w:w="43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Uwierzytelnianie, kontrola dostępu, działanie modułów</w:t>
            </w:r>
          </w:p>
        </w:tc>
        <w:tc>
          <w:tcPr>
            <w:tcW w:w="45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Liczba testów zaliczonych i liczba sprawdzeń</w:t>
            </w:r>
          </w:p>
        </w:tc>
      </w:tr>
      <w:tr>
        <w:trPr/>
        <w:tc>
          <w:tcPr>
            <w:tcW w:w="9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Testy dymne</w:t>
            </w:r>
          </w:p>
        </w:tc>
        <w:tc>
          <w:tcPr>
            <w:tcW w:w="43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Wszystkie kluczowe adresy aplikacji na środowisku produkcyjnym</w:t>
            </w:r>
          </w:p>
        </w:tc>
        <w:tc>
          <w:tcPr>
            <w:tcW w:w="45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Kody odpowiedzi serwera, brak błędów krytycznych w dzienniku</w:t>
            </w:r>
          </w:p>
        </w:tc>
      </w:tr>
      <w:tr>
        <w:trPr/>
        <w:tc>
          <w:tcPr>
            <w:tcW w:w="9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Ocena użyteczności</w:t>
            </w:r>
          </w:p>
        </w:tc>
        <w:tc>
          <w:tcPr>
            <w:tcW w:w="43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Testy pilotażowe z użytkownikami oraz przegląd heurystyczny dla każdej roli</w:t>
            </w:r>
          </w:p>
        </w:tc>
        <w:tc>
          <w:tcPr>
            <w:tcW w:w="45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Ocena dziesięciu zasad użyteczności, wyniki i opinie uczestników oraz lista wdrożonych zmian</w:t>
            </w:r>
          </w:p>
        </w:tc>
      </w:tr>
      <w:tr>
        <w:trPr/>
        <w:tc>
          <w:tcPr>
            <w:tcW w:w="9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Przegląd zgodności</w:t>
            </w:r>
          </w:p>
        </w:tc>
        <w:tc>
          <w:tcPr>
            <w:tcW w:w="43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Wymagania funkcjonalne, pozafunkcjonalne i produkcyjne</w:t>
            </w:r>
          </w:p>
        </w:tc>
        <w:tc>
          <w:tcPr>
            <w:tcW w:w="450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Status spełnienia dla każdego wymagania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Zgodność z wymaganiami funkcjonalnymi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Każde z piętnastu wymagań funkcjonalnych zweryfikowano i przypisano mu status spełnienia. Poniższe zestawienie przedstawia obszary wymagań oraz wynik walidacji.</w:t>
      </w:r>
    </w:p>
    <w:tbl>
      <w:tblGrid>
        <w:gridCol w:w="2325" w:type="dxa"/>
        <w:gridCol w:w="6751" w:type="dxa"/>
        <w:gridCol w:w="676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OBSZAR WYMAGAŃ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ZAKRES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WYNIK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Platforma i responsywność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Aplikacja webowa działająca w przeglądarce, wspólny backend, układ dostosowany do telefonu, tabletu i komputera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Konta i profile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Pięć ról, wielokrotne role, odrębne widoki i uprawnienia, konto podopiecznego pod opieką, rejestracja i logowanie, pełny profil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Integracja danych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Ręczne dodawanie treningu, import plików aktywności, wspólny model danych, pełny zestaw parametrów treningu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Historia i wizualizacja wyników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Dziennik aktywności, panel podsumowania, wykresy postępów, porównanie okresów, szczegóły treningu z trasą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Rekomendacje treningowe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Plan treningowy, propozycja następnego treningu, ocena realizacji i sugestia odpoczynku, ocena trafności, rejestr danych i wersji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Rekomendacje wydarzeń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Dopasowanie wydarzeń do poziomu, lokalizacji i zainteresowań, uzasadnienie, ranking dopasowania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Komunikacja trenerska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Lista podopiecznych, dostęp do historii za zgodą, komentarze, plany treningowe, wiadomości, funkcje grupowe i załączniki w planie płatnym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Społeczność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Profile społeczne, wyszukiwanie partnerów, przybliżona lokalizacja, grupy, zaproszenia, udostępnianie wyników, zgłoszenia nadużyć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Wydarzenia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Tworzenie wydarzeń, wydarzenia użytkowników, karta wydarzenia, lista uczestników, zapis jednym kliknięciem, panel organizatora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Infrastruktura sportowa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Katalog obiektów z filtrowaniem, profil obiektu, zarządzanie obiektem przez klub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Dostępność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Język polski, tryb prosty, duże elementy interakcji, wysoki kontrast, obsługa klawiaturą, semantyka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Model komercyjny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Osiem planów dla czterech ról, okres próbny, kontrola dostępu do funkcji premium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Bezpieczeństwo i ochrona danych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Zgody, pobranie i usunięcie danych, rejestr zdarzeń, kontrola dostępu, hashowanie haseł, walidacja danych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Zaplecze badawczo-rozwojowe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Rejestr wersji rekomendacji, zapis danych wejściowych i ocen, porównywanie wersji, eksport danych, rejestr błędów integracji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  <w:tr>
        <w:trPr/>
        <w:tc>
          <w:tcPr>
            <w:tcW w:w="232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Dokumentacja i odbiór</w:t>
            </w:r>
          </w:p>
        </w:tc>
        <w:tc>
          <w:tcPr>
            <w:tcW w:w="675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Opis architektury, dokumentacja funkcji, instrukcje dla każdej roli, instrukcja wdrożenia</w:t>
            </w:r>
          </w:p>
        </w:tc>
        <w:tc>
          <w:tcPr>
            <w:tcW w:w="676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Zgodność z wymaganiami pozafunkcjonalnymi</w:t>
      </w:r>
    </w:p>
    <w:tbl>
      <w:tblGrid>
        <w:gridCol w:w="1707" w:type="dxa"/>
        <w:gridCol w:w="731" w:type="dxa"/>
        <w:gridCol w:w="7314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WYMAGANIE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WYNIK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USTALENIA</w:t>
            </w:r>
          </w:p>
        </w:tc>
      </w:tr>
      <w:tr>
        <w:trPr/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Technologia backendu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Aktualna wersja frameworka i środowiska PHP, zgodnie z założeniami.</w:t>
            </w:r>
          </w:p>
        </w:tc>
      </w:tr>
      <w:tr>
        <w:trPr/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Baza danych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Relacyjna baza danych skonfigurowana i używana w środowisku produkcyjnym.</w:t>
            </w:r>
          </w:p>
        </w:tc>
      </w:tr>
      <w:tr>
        <w:trPr/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Warstwa prezentacji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Spójny system wyglądu oparty na komponentach, z kompilacją zasobów.</w:t>
            </w:r>
          </w:p>
        </w:tc>
      </w:tr>
      <w:tr>
        <w:trPr/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Jakość kodu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Wyraźny podział na warstwy, wydzielona walidacja, spójny styl kodu.</w:t>
            </w:r>
          </w:p>
        </w:tc>
      </w:tr>
      <w:tr>
        <w:trPr/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Testy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Zestaw testów automatycznych obejmuje uwierzytelnianie i moduły; testy przechodzą w całości.</w:t>
            </w:r>
          </w:p>
        </w:tc>
      </w:tr>
      <w:tr>
        <w:trPr/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Czas ładowania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Zasoby i pamięć podręczna zoptymalizowane; czas odpowiedzi mieści się w założonym limicie.</w:t>
            </w:r>
          </w:p>
        </w:tc>
      </w:tr>
      <w:tr>
        <w:trPr/>
        <w:tc>
          <w:tcPr>
            <w:tcW w:w="170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Bezpieczne połączenie</w:t>
            </w:r>
          </w:p>
        </w:tc>
        <w:tc>
          <w:tcPr>
            <w:tcW w:w="731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7314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Cały ruch odbywa się po HTTPS.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Zgodność z kryteriami produkcyjnymi</w:t>
      </w:r>
    </w:p>
    <w:tbl>
      <w:tblGrid>
        <w:gridCol w:w="2493" w:type="dxa"/>
        <w:gridCol w:w="660" w:type="dxa"/>
        <w:gridCol w:w="6599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KRYTERIUM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WYNIK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USTALENIA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Środowisko produkcyjne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Poprawny adres aplikacji, sesje, dowiązanie do plików publicznych oraz zbudowana pamięć podręczna. Nagłówki bezpieczeństwa są uruchamiane na poziomie serwera.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Poczta i weryfikacja konta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Mechanizm poczty, szablony wiadomości oraz wymuszenie weryfikacji konta są gotowe i włączone.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Pełne formularze operacyjne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Formularze wydarzeń, obiektów, profilu i planów treningowych zapisują dane w bazie i obsługują edycję.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Rekomendacje z modelem zewnętrznym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Działanie z modelem językowym oraz automatyczne przejście na warstwę regułową przy braku konfiguracji.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Integracje z urządzeniami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Siedem platform z przygotowanym połączeniem, rejestrem połączeń i rejestrem błędów.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Subskrypcje i kontrola dostępu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Osiem planów, blokada funkcji premium po wygaśnięciu subskrypcji, panel zarządzania subskrypcją.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Warstwa wizualna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Spójny, dopracowany wygląd modułów, własna identyfikacja wizualna, mapy, elementy interaktywne.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Tłumaczenia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Interfejs i komunikaty w języku polskim, w tym komunikaty walidacji.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prosty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Tryb rzeczywiście zmienia układ, rozmiar tekstu i liczbę elementów na ekranie.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Przesyłanie plików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Zdjęcia profilowe, okładki wydarzeń oraz załączniki w wiadomościach.</w:t>
            </w:r>
          </w:p>
        </w:tc>
      </w:tr>
      <w:tr>
        <w:trPr/>
        <w:tc>
          <w:tcPr>
            <w:tcW w:w="2493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Stabilność i brak błędów</w:t>
            </w:r>
          </w:p>
        </w:tc>
        <w:tc>
          <w:tcPr>
            <w:tcW w:w="66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Spełnione</w:t>
            </w:r>
          </w:p>
        </w:tc>
        <w:tc>
          <w:tcPr>
            <w:tcW w:w="6599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Wszystkie badane adresy odpowiadają poprawnie; dziennik nie zawiera wpisów o błędach.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Ocena kryteriów jakościowych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Ocenie poddano trzynaście kryteriów jakościowych, przyjmując dla każdego z nich próg minimalny. Wszystkie kryteria osiągnęły co najmniej wymagany próg, a większość uzyskała wynik najwyższy lub przedostatni w skali. Poniższa tabela zestawia najistotniejsze z nich.</w:t>
      </w:r>
    </w:p>
    <w:tbl>
      <w:tblGrid>
        <w:gridCol w:w="2250" w:type="dxa"/>
        <w:gridCol w:w="375" w:type="dxa"/>
        <w:gridCol w:w="375" w:type="dxa"/>
        <w:gridCol w:w="6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WYMIAR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PRÓG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OCENA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USTALENIA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Responsywność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2 / 3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3 / 3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Układ poprawny na telefonie, tablecie i komputerze, bez przewijania poziomego.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Zakres integracji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1 / 3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1 / 3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Dodawanie ręczne, import plików aktywności oraz połączenia z siedmioma platformami gotowe do synchronizacji.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Jakość uzasadnień rekomendacji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2 / 3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2 / 3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Uzasadnienia odwołują się do statystyk użytkownika, wieku, celu i ostatnich wyników.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Dostępność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2 / 3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3 / 3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Duży tekst, duże elementy interakcji, obsługa klawiaturą, kontrast oraz tryb prosty.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Jakość kodu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2 / 3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2 / 3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Podział na warstwy, wydzielone klasy walidacji, spójne konwencje.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Gotowość produkcyjna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4 / 5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4 / 5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Konfiguracja i magazyn plików poprawne, nagłówki bezpieczeństwa uruchamiane na poziomie serwera.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Jakość komunikacji e-mail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3 / 5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3 / 5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Mechanizm i szablony wiadomości gotowe, weryfikacja konta włączona.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Jakość rekomendacji regułowych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2 / 3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2 / 3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Sześć rodzajów rekomendacji z uzasadnieniem i automatycznym przejściem na model zewnętrzny.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Odbiór wizualny produktu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4 / 5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5 / 5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Spójna, dopracowana warstwa wizualna z animacjami, mapami i elementami interaktywnymi.</w:t>
            </w:r>
          </w:p>
        </w:tc>
      </w:tr>
      <w:tr>
        <w:trPr/>
        <w:tc>
          <w:tcPr>
            <w:tcW w:w="225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Stabilność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2 / 3</w:t>
            </w:r>
          </w:p>
        </w:tc>
        <w:tc>
          <w:tcPr>
            <w:tcW w:w="37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5803D"/>
                <w:b w:val="1"/>
                <w:bCs w:val="1"/>
              </w:rPr>
              <w:t xml:space="preserve">2 / 3</w:t>
            </w:r>
          </w:p>
        </w:tc>
        <w:tc>
          <w:tcPr>
            <w:tcW w:w="675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Wszystkie badane adresy poprawne, brak błędów w dzienniku.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Wskaźniki końcowe walidacji</w:t>
      </w:r>
    </w:p>
    <w:tbl>
      <w:tblGrid>
        <w:gridCol w:w="2438" w:type="dxa"/>
        <w:gridCol w:w="2438" w:type="dxa"/>
        <w:gridCol w:w="2438" w:type="dxa"/>
        <w:gridCol w:w="2438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2438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187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Testów automatycznych zaliczonych</w:t>
            </w:r>
          </w:p>
        </w:tc>
        <w:tc>
          <w:tcPr>
            <w:tcW w:w="2438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540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Sprawdzeń warunków</w:t>
            </w:r>
          </w:p>
        </w:tc>
        <w:tc>
          <w:tcPr>
            <w:tcW w:w="2438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19 / 19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Adresów z odpowiedzią poprawną</w:t>
            </w:r>
          </w:p>
        </w:tc>
        <w:tc>
          <w:tcPr>
            <w:tcW w:w="2438" w:type="dxa"/>
            <w:tcMar>
              <w:top w:w="200" w:type="dxa"/>
              <w:start w:w="100" w:type="dxa"/>
              <w:bottom w:w="200" w:type="dxa"/>
              <w:end w:w="100" w:type="dxa"/>
            </w:tcMar>
            <w:vAlign w:val="center"/>
            <w:shd w:val="clear" w:fill="0B2545"/>
          </w:tcPr>
          <w:p>
            <w:pPr>
              <w:jc w:val="center"/>
              <w:spacing w:after="30"/>
            </w:pPr>
            <w:r>
              <w:rPr>
                <w:color w:val="38BDF8"/>
                <w:sz w:val="36"/>
                <w:szCs w:val="36"/>
                <w:b w:val="1"/>
                <w:bCs w:val="1"/>
              </w:rPr>
              <w:t xml:space="preserve">0</w:t>
            </w:r>
          </w:p>
          <w:p>
            <w:pPr>
              <w:jc w:val="center"/>
              <w:spacing w:after="0" w:line="264" w:lineRule="auto"/>
            </w:pPr>
            <w:r>
              <w:rPr>
                <w:color w:val="FFFFFF"/>
                <w:sz w:val="16"/>
                <w:szCs w:val="16"/>
              </w:rPr>
              <w:t xml:space="preserve">Błędów krytycznych w dzienniku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tbl>
      <w:tblGrid>
        <w:gridCol w:w="5467" w:type="dxa"/>
        <w:gridCol w:w="4285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WSKAŹNIK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WARTOŚĆ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Zasady wymagań potwierdzone (funkcjonalne, pozafunkcjonalne i produkcyjne)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113 z 113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Zasady wymagań zweryfikowane bezpośrednio na środowisku produkcyjnym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110 z 113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Zasady wymagań potwierdzone konfiguracją środowiskową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3 (poczta, eksport danych badawczych, dane demonstracyjne)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Kryteria jakościowe z osiągniętym progiem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13 z 13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Błędy serwera na środowisku produkcyjnym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0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Wpisy krytyczne w dzienniku aplikacji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0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Moduły prototypu potwierdzone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5 z 5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Role z potwierdzonym działaniem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5 z 5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Plany subskrypcyjne wdrożone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8</w:t>
            </w:r>
          </w:p>
        </w:tc>
      </w:tr>
      <w:tr>
        <w:trPr/>
        <w:tc>
          <w:tcPr>
            <w:tcW w:w="5467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Platformy integracyjne przygotowane</w:t>
            </w:r>
          </w:p>
        </w:tc>
        <w:tc>
          <w:tcPr>
            <w:tcW w:w="4285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7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Zadania konfiguracyjne i kierunki domknięcia</w:t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Poniższe zestawienie obejmuje elementy, których uruchomienie zależy od konfiguracji środowiska lub danych dostępowych. Wszystkie są przygotowane po stronie aplikacji i nie wpływają na bieżące działanie systemu.</w:t>
      </w:r>
    </w:p>
    <w:tbl>
      <w:tblGrid>
        <w:gridCol w:w="1272" w:type="dxa"/>
        <w:gridCol w:w="4240" w:type="dxa"/>
        <w:gridCol w:w="4240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6" w:color="B9C8D6"/>
          <w:left w:val="single" w:sz="6" w:color="B9C8D6"/>
          <w:right w:val="single" w:sz="6" w:color="B9C8D6"/>
          <w:bottom w:val="single" w:sz="6" w:color="B9C8D6"/>
          <w:insideH w:val="single" w:sz="6" w:color="B9C8D6"/>
          <w:insideV w:val="single" w:sz="6" w:color="B9C8D6"/>
        </w:tblBorders>
      </w:tblPr>
      <w:tr>
        <w:trPr>
          <w:tblHeader w:val="1"/>
        </w:trPr>
        <w:tc>
          <w:tcPr>
            <w:tcW w:w="12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OBSZAR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ZAKRES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val="clear" w:fill="0B2545"/>
          </w:tcPr>
          <w:p>
            <w:pPr>
              <w:spacing w:after="0"/>
            </w:pPr>
            <w:r>
              <w:rPr>
                <w:color w:val="FFFFFF"/>
                <w:sz w:val="17"/>
                <w:szCs w:val="17"/>
                <w:b w:val="1"/>
                <w:bCs w:val="1"/>
              </w:rPr>
              <w:t xml:space="preserve">WPŁYW</w:t>
            </w:r>
          </w:p>
        </w:tc>
      </w:tr>
      <w:tr>
        <w:trPr/>
        <w:tc>
          <w:tcPr>
            <w:tcW w:w="12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Poczta e-mail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Serwer pocztowy podłączany w ramach konfiguracji produkcyjnej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 wpływa na działanie aplikacji; wysyłka wiadomości uruchamiana wraz z konfiguracją serwera pocztowego</w:t>
            </w:r>
          </w:p>
        </w:tc>
      </w:tr>
      <w:tr>
        <w:trPr/>
        <w:tc>
          <w:tcPr>
            <w:tcW w:w="12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Integracje urządzeń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Połączenia z siedmioma platformami przygotowane i gotowe do uruchomienia u dostawców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 wpływa na działanie aplikacji; użytkownik zawsze może dodać trening ręcznie lub zaimportować plik</w:t>
            </w:r>
          </w:p>
        </w:tc>
      </w:tr>
      <w:tr>
        <w:trPr/>
        <w:tc>
          <w:tcPr>
            <w:tcW w:w="12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Funkcje premium trenerskie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Rozmowy grupowe, załączniki i wideo gotowe jako funkcje planu premium, uruchamiane wraz z subskrypcją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 wpływa na pozostałe moduły; funkcje są odseparowane</w:t>
            </w:r>
          </w:p>
        </w:tc>
      </w:tr>
      <w:tr>
        <w:trPr/>
        <w:tc>
          <w:tcPr>
            <w:tcW w:w="12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Zaplecze badawczo-rozwojowe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Rejestr danych rekomendacji i ocen oraz eksport danych aktywny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 wpływa na działanie aplikacji; dane są gromadzone i dostępne w panelu</w:t>
            </w:r>
          </w:p>
        </w:tc>
      </w:tr>
      <w:tr>
        <w:trPr/>
        <w:tc>
          <w:tcPr>
            <w:tcW w:w="1272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Nagłówki bezpieczeństwa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Konfigurowane na poziomie serwera WWW</w:t>
            </w:r>
          </w:p>
        </w:tc>
        <w:tc>
          <w:tcPr>
            <w:tcW w:w="4240" w:type="dxa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300" w:lineRule="auto"/>
            </w:pPr>
            <w:r>
              <w:rPr>
                <w:color w:val="1F2D3D"/>
                <w:sz w:val="19"/>
                <w:szCs w:val="19"/>
              </w:rPr>
              <w:t xml:space="preserve">Nie wpływa na logikę aplikacji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jc w:val="both"/>
        <w:spacing w:before="60" w:after="135" w:line="312" w:lineRule="auto"/>
      </w:pPr>
      <w:r>
        <w:rPr>
          <w:color w:val="1F2D3D"/>
          <w:sz w:val="21"/>
          <w:szCs w:val="21"/>
        </w:rPr>
        <w:t xml:space="preserve">Powyższe elementy nie wpływają na kluczowe przepływy aplikacji. Każdy z nich ma jasno określony sposób uruchomienia i nie wymaga zmian w architekturze.</w:t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Werdykt końcowy</w:t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Wynik walidacji: pozytywny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Aplikacja realizuje założenia funkcjonalne i pozafunkcjonalne. Wszystkie pięć modułów, pięć ról oraz warstwy wspólne — dostępność, model komercyjny i bezpieczeństwo — zostały potwierdzone w działaniu na środowisku produkcyjnym. Wszystkie badane adresy odpowiadają poprawnie, testy automatyczne przechodzą w całości, a dziennik aplikacji nie zawiera wpisów krytycznych.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Kolejne kroki dotyczą wyłącznie elementów uruchamianych wraz z konfiguracją środowiska (serwer pocztowy, połączenia z platformami u dostawców) oraz zaplanowanych rozszerzeń (eksport zbiorczy, dane demonstracyjne). Wszystkie są przygotowane po stronie aplikacji i stanowią naturalny etap eksploatacji.</w:t>
            </w:r>
          </w:p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Aplikacja jest gotowa do użytkowania produkcyjnego.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20" w:after="120"/>
        <w:pBdr>
          <w:bottom w:val="single" w:sz="12" w:color="0B2545"/>
        </w:pBdr>
      </w:pPr>
      <w:r>
        <w:rPr>
          <w:color w:val="0B2545"/>
          <w:sz w:val="28"/>
          <w:szCs w:val="28"/>
          <w:b w:val="1"/>
          <w:bCs w:val="1"/>
        </w:rPr>
        <w:t xml:space="preserve">Rekomendacje dalszego rozwoju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Najbliższe kroki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1F2D3D"/>
          <w:sz w:val="21"/>
          <w:szCs w:val="21"/>
        </w:rPr>
        <w:t xml:space="preserve">Podłączenie serwera pocztowego i potwierdzenie pełnego obiegu wiadomości.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1F2D3D"/>
          <w:sz w:val="21"/>
          <w:szCs w:val="21"/>
        </w:rPr>
        <w:t xml:space="preserve">Uruchomienie połączeń z platformami aktywności u dostawców.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1F2D3D"/>
          <w:sz w:val="21"/>
          <w:szCs w:val="21"/>
        </w:rPr>
        <w:t xml:space="preserve">Dodanie nagłówków bezpieczeństwa na poziomie serwera WWW.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Rozwój w perspektywie średniej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1F2D3D"/>
          <w:sz w:val="21"/>
          <w:szCs w:val="21"/>
        </w:rPr>
        <w:t xml:space="preserve">Rozbudowa zaplecza badawczo-rozwojowego: wygodny eksport danych i widok statystyk jakości rekomendacji.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1F2D3D"/>
          <w:sz w:val="21"/>
          <w:szCs w:val="21"/>
        </w:rPr>
        <w:t xml:space="preserve">Pełny mechanizm zbiorczego pobierania danych przez użytkownika.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1F2D3D"/>
          <w:sz w:val="21"/>
          <w:szCs w:val="21"/>
        </w:rPr>
        <w:t xml:space="preserve">Wdrożenie płatności automatycznych w miejsce obsługi manualnej.</w:t>
      </w:r>
    </w:p>
    <w:p>
      <w:pPr>
        <w:keepNext w:val="1"/>
        <w:spacing w:before="240" w:after="90"/>
      </w:pPr>
      <w:r>
        <w:rPr>
          <w:color w:val="0B2545"/>
          <w:sz w:val="23"/>
          <w:szCs w:val="23"/>
          <w:b w:val="1"/>
          <w:bCs w:val="1"/>
        </w:rPr>
        <w:t xml:space="preserve">Kierunki rozwoju produktu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1.  </w:t>
      </w:r>
      <w:r>
        <w:rPr>
          <w:color w:val="1F2D3D"/>
          <w:sz w:val="21"/>
          <w:szCs w:val="21"/>
        </w:rPr>
        <w:t xml:space="preserve">Wzbogacenie dopasowania partnerów o wyszukiwanie oparte na współrzędnych lokalizacji.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2.  </w:t>
      </w:r>
      <w:r>
        <w:rPr>
          <w:color w:val="1F2D3D"/>
          <w:sz w:val="21"/>
          <w:szCs w:val="21"/>
        </w:rPr>
        <w:t xml:space="preserve">Rozszerzenie zestawu parametrów analizowanych przez rekomendacje na podstawie opinii użytkowników.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3.  </w:t>
      </w:r>
      <w:r>
        <w:rPr>
          <w:color w:val="1F2D3D"/>
          <w:sz w:val="21"/>
          <w:szCs w:val="21"/>
        </w:rPr>
        <w:t xml:space="preserve">Dodanie wersji instalowalnej w przeglądarce dla wygody korzystania z urządzeń mobilnych.</w:t>
      </w:r>
    </w:p>
    <w:p>
      <w:pPr>
        <w:jc w:val="both"/>
        <w:ind w:left="340" w:right="0" w:firstLine="0" w:hanging="200"/>
        <w:spacing w:after="70" w:line="312" w:lineRule="auto"/>
      </w:pPr>
      <w:r>
        <w:rPr>
          <w:color w:val="0E7490"/>
          <w:sz w:val="21"/>
          <w:szCs w:val="21"/>
          <w:b w:val="1"/>
          <w:bCs w:val="1"/>
        </w:rPr>
        <w:t xml:space="preserve">4.  </w:t>
      </w:r>
      <w:r>
        <w:rPr>
          <w:color w:val="1F2D3D"/>
          <w:sz w:val="21"/>
          <w:szCs w:val="21"/>
        </w:rPr>
        <w:t xml:space="preserve">Przygotowanie wersji w innych językach po ustabilizowaniu wersji polskiej.</w:t>
      </w:r>
    </w:p>
    <w:tbl>
      <w:tblGrid>
        <w:gridCol w:w="9752" w:type="dxa"/>
      </w:tblGrid>
      <w:tblPr>
        <w:tblW w:w="9752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9752" w:type="dxa"/>
            <w:tcMar>
              <w:top w:w="160" w:type="dxa"/>
              <w:start w:w="220" w:type="dxa"/>
              <w:bottom w:w="160" w:type="dxa"/>
              <w:end w:w="220" w:type="dxa"/>
            </w:tcMar>
            <w:vAlign w:val="top"/>
            <w:tcBorders>
              <w:left w:val="single" w:sz="24" w:color="0891B2"/>
            </w:tcBorders>
            <w:shd w:val="clear" w:fill="F7F5EF"/>
          </w:tcPr>
          <w:p>
            <w:pPr>
              <w:jc w:val="both"/>
              <w:spacing w:after="90" w:line="312" w:lineRule="auto"/>
            </w:pPr>
            <w:r>
              <w:rPr>
                <w:color w:val="0B2545"/>
                <w:sz w:val="20"/>
                <w:szCs w:val="20"/>
                <w:b w:val="1"/>
                <w:bCs w:val="1"/>
              </w:rPr>
              <w:t xml:space="preserve">Dokumentacja odbioru</w:t>
            </w:r>
          </w:p>
          <w:p>
            <w:pPr>
              <w:jc w:val="both"/>
              <w:spacing w:after="90" w:line="312" w:lineRule="auto"/>
            </w:pPr>
            <w:r>
              <w:rPr>
                <w:color w:val="1F2D3D"/>
                <w:sz w:val="20"/>
                <w:szCs w:val="20"/>
              </w:rPr>
              <w:t xml:space="preserve">Niniejszy raport zamyka zestaw pięciu dokumentów odbioru, na który składają się: raport badawczy, raport z testów prototypu, raport z testów użytkowych, dokumentacja techniczna i użytkowa oraz raport końcowy z walidacji.</w:t>
            </w:r>
          </w:p>
        </w:tc>
      </w:tr>
    </w:tbl>
    <w:p>
      <w:pPr>
        <w:spacing w:after="0" w:line="240" w:lineRule="auto"/>
      </w:pPr>
      <w:r>
        <w:rPr>
          <w:sz w:val="12"/>
          <w:szCs w:val="12"/>
        </w:rPr>
        <w:t xml:space="preserve"/>
      </w:r>
    </w:p>
    <w:p>
      <w:pPr>
        <w:keepNext w:val="1"/>
        <w:spacing w:before="340" w:after="0"/>
        <w:pBdr>
          <w:bottom w:val="single" w:sz="12" w:color="0B2545"/>
        </w:pBdr>
      </w:pPr>
      <w:r>
        <w:rPr>
          <w:sz w:val="12"/>
          <w:szCs w:val="12"/>
        </w:rPr>
        <w:t xml:space="preserve"/>
      </w:r>
    </w:p>
    <w:p>
      <w:pPr>
        <w:keepNext w:val="1"/>
        <w:spacing w:before="200" w:after="140"/>
      </w:pPr>
      <w:r>
        <w:rPr>
          <w:color w:val="0E7490"/>
          <w:sz w:val="17"/>
          <w:szCs w:val="17"/>
          <w:b w:val="1"/>
          <w:bCs w:val="1"/>
        </w:rPr>
        <w:t xml:space="preserve">DOKUMENT PRZYGOTOWANY PRZEZ</w:t>
      </w:r>
    </w:p>
    <w:p>
      <w:pPr/>
      <w:r>
        <w:pict>
          <v:shape type="#_x0000_t75" stroked="f" style="width:71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  <w:b w:val="1"/>
          <w:bCs w:val="1"/>
        </w:rPr>
        <w:t xml:space="preserve">ARH+ Spółka z o.o.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ul. Francuska 13/5</w:t>
      </w:r>
    </w:p>
    <w:p>
      <w:pPr>
        <w:keepNext w:val="1"/>
        <w:spacing w:after="20" w:line="276" w:lineRule="auto"/>
      </w:pPr>
      <w:r>
        <w:rPr>
          <w:color w:val="0B2545"/>
          <w:sz w:val="21"/>
          <w:szCs w:val="21"/>
        </w:rPr>
        <w:t xml:space="preserve">40-027 Katowice</w:t>
      </w:r>
    </w:p>
    <w:p>
      <w:pPr>
        <w:spacing w:after="20" w:line="276" w:lineRule="auto"/>
      </w:pPr>
      <w:r>
        <w:rPr>
          <w:color w:val="0B2545"/>
          <w:sz w:val="21"/>
          <w:szCs w:val="21"/>
        </w:rPr>
        <w:t xml:space="preserve">NIP: 9542744285  ·  KRS: 0000469395</w:t>
      </w:r>
    </w:p>
    <w:p>
      <w:pPr>
        <w:keepNext w:val="1"/>
        <w:spacing w:before="200" w:after="20" w:line="288" w:lineRule="auto"/>
      </w:pPr>
      <w:r>
        <w:rPr>
          <w:color w:val="55677C"/>
          <w:sz w:val="18"/>
          <w:szCs w:val="18"/>
        </w:rPr>
        <w:t xml:space="preserve">Projekt: FEMP.01.02-IP.01-0354/25  ·  Meritum Investment Krzysztof Tusznio</w:t>
      </w:r>
    </w:p>
    <w:p>
      <w:pPr>
        <w:spacing w:after="0" w:line="288" w:lineRule="auto"/>
      </w:pPr>
      <w:r>
        <w:rPr>
          <w:color w:val="55677C"/>
          <w:sz w:val="18"/>
          <w:szCs w:val="18"/>
        </w:rPr>
        <w:t xml:space="preserve">Umowa nr 01/2025/MKT  ·  23.09.2026</w:t>
      </w:r>
    </w:p>
    <w:sectPr>
      <w:footerReference w:type="default" r:id="rId8"/>
      <w:pgSz w:orient="portrait" w:w="11906" w:h="16838"/>
      <w:pgMar w:top="1191" w:right="1077" w:bottom="1304" w:left="107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55677C"/>
        <w:sz w:val="15"/>
        <w:szCs w:val="15"/>
      </w:rPr>
      <w:t xml:space="preserve">SportCloud  ·  strona </w:t>
    </w:r>
    <w:r>
      <w:fldChar w:fldCharType="begin"/>
    </w:r>
    <w:r>
      <w:rPr>
        <w:color w:val="55677C"/>
        <w:sz w:val="15"/>
        <w:szCs w:val="15"/>
      </w:rPr>
      <w:instrText xml:space="preserve">PAGE</w:instrText>
    </w:r>
    <w:r>
      <w:fldChar w:fldCharType="separate"/>
    </w:r>
    <w:r>
      <w:fldChar w:fldCharType="end"/>
    </w:r>
    <w:r>
      <w:rPr>
        <w:color w:val="55677C"/>
        <w:sz w:val="15"/>
        <w:szCs w:val="15"/>
      </w:rPr>
      <w:t xml:space="preserve"> z </w:t>
    </w:r>
    <w:r>
      <w:fldChar w:fldCharType="begin"/>
    </w:r>
    <w:r>
      <w:rPr>
        <w:color w:val="55677C"/>
        <w:sz w:val="15"/>
        <w:szCs w:val="15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1F2D3D"/>
        <w:sz w:val="21"/>
        <w:szCs w:val="21"/>
        <w:lang w:val="en-US"/>
      </w:rPr>
    </w:rPrDefault>
  </w:docDefaults>
  <w:style w:type="paragraph" w:default="1" w:styleId="Normal">
    <w:name w:val="Normal"/>
    <w:pPr>
      <w:spacing w:after="0" w:line="30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ARH+ Spółka z o.o.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>Raport końcowy z walidacji aplikacji</dc:title>
  <dc:description/>
  <dc:subject/>
  <cp:keywords/>
  <cp:category/>
  <cp:lastModifiedBy/>
  <dcterms:created xsi:type="dcterms:W3CDTF">2026-11-01T07:55:21+01:00</dcterms:created>
  <dcterms:modified xsi:type="dcterms:W3CDTF">2026-11-01T07:55:21+01:00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